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Look w:val="04A0"/>
      </w:tblPr>
      <w:tblGrid>
        <w:gridCol w:w="4240"/>
        <w:gridCol w:w="5200"/>
      </w:tblGrid>
      <w:tr w:rsidR="00D57B2E" w:rsidRPr="00D57B2E" w:rsidTr="00D57B2E">
        <w:trPr>
          <w:trHeight w:val="598"/>
        </w:trPr>
        <w:tc>
          <w:tcPr>
            <w:tcW w:w="9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 xml:space="preserve">Antibiotic Policy </w:t>
            </w:r>
          </w:p>
        </w:tc>
      </w:tr>
      <w:tr w:rsidR="00D57B2E" w:rsidRPr="00D57B2E" w:rsidTr="00D57B2E">
        <w:trPr>
          <w:trHeight w:val="598"/>
        </w:trPr>
        <w:tc>
          <w:tcPr>
            <w:tcW w:w="9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D57B2E" w:rsidRPr="00D57B2E" w:rsidTr="00D57B2E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Policy Name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Antibiotic Policy </w:t>
            </w:r>
          </w:p>
        </w:tc>
      </w:tr>
      <w:tr w:rsidR="00D57B2E" w:rsidRPr="00D57B2E" w:rsidTr="00D57B2E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Date of implementation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7B2E" w:rsidRPr="00D57B2E" w:rsidTr="00D57B2E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7B2E" w:rsidRPr="00D57B2E" w:rsidTr="00D57B2E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Approved By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Superintendent in Chief / Chief Medical Superintendent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Name :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Signature : 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B2E" w:rsidRPr="00D57B2E" w:rsidTr="00D57B2E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Reviewed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District Hospital Quality Assurance Team (Incharge / Member)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Name :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Signature : 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B2E" w:rsidRPr="00D57B2E" w:rsidTr="00D57B2E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7B2E" w:rsidRPr="00D57B2E" w:rsidTr="00D57B2E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Issued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57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SiC</w:t>
            </w:r>
            <w:proofErr w:type="spellEnd"/>
            <w:r w:rsidRPr="00D57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/ CMS / Quality Manager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Name :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Signature : 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B2E" w:rsidRPr="00D57B2E" w:rsidTr="00D57B2E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Responsibility of Updating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Head Of Department 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Name :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Signature : </w:t>
            </w: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B2E" w:rsidRPr="00D57B2E" w:rsidTr="00D57B2E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Last Date of Updating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7B2E" w:rsidRPr="00D57B2E" w:rsidTr="00D57B2E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B2E" w:rsidRPr="00D57B2E" w:rsidRDefault="00D57B2E" w:rsidP="00D57B2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050" w:rsidRDefault="0031397A">
      <w:pPr>
        <w:pStyle w:val="Heading1"/>
        <w:numPr>
          <w:ilvl w:val="0"/>
          <w:numId w:val="0"/>
        </w:numPr>
      </w:pPr>
      <w:r>
        <w:lastRenderedPageBreak/>
        <w:t xml:space="preserve">A. Purpose: </w:t>
      </w:r>
    </w:p>
    <w:p w:rsidR="006D6050" w:rsidRDefault="0031397A" w:rsidP="00CA051E">
      <w:pPr>
        <w:numPr>
          <w:ilvl w:val="0"/>
          <w:numId w:val="1"/>
        </w:numPr>
        <w:ind w:hanging="360"/>
      </w:pPr>
      <w:r>
        <w:t xml:space="preserve">To improve patient care by promoting the best practice in antibiotic prophylaxis and therapy. </w:t>
      </w:r>
    </w:p>
    <w:p w:rsidR="006D6050" w:rsidRDefault="0031397A" w:rsidP="00CA051E">
      <w:pPr>
        <w:numPr>
          <w:ilvl w:val="0"/>
          <w:numId w:val="1"/>
        </w:numPr>
        <w:ind w:hanging="360"/>
      </w:pPr>
      <w:r>
        <w:t xml:space="preserve">To ensure better use of resources by using cheaper drugs where possible. </w:t>
      </w:r>
    </w:p>
    <w:p w:rsidR="006D6050" w:rsidRDefault="0031397A" w:rsidP="00CA051E">
      <w:pPr>
        <w:numPr>
          <w:ilvl w:val="0"/>
          <w:numId w:val="1"/>
        </w:numPr>
        <w:ind w:hanging="360"/>
      </w:pPr>
      <w:r>
        <w:t xml:space="preserve">To retard the emergence and spread of multiple antibiotic – resistant bacteria. </w:t>
      </w:r>
    </w:p>
    <w:p w:rsidR="006D6050" w:rsidRDefault="0031397A" w:rsidP="00CA051E">
      <w:pPr>
        <w:numPr>
          <w:ilvl w:val="0"/>
          <w:numId w:val="1"/>
        </w:numPr>
        <w:ind w:hanging="360"/>
      </w:pPr>
      <w:r>
        <w:t xml:space="preserve">To improve education of junior doctors by providing guidelines for appropriate therapy. </w:t>
      </w:r>
    </w:p>
    <w:p w:rsidR="006D6050" w:rsidRDefault="0031397A" w:rsidP="00CA051E">
      <w:pPr>
        <w:numPr>
          <w:ilvl w:val="0"/>
          <w:numId w:val="1"/>
        </w:numPr>
        <w:ind w:hanging="360"/>
      </w:pPr>
      <w:r>
        <w:t xml:space="preserve">To eliminate the use of unnecessary or ineffective antibiotics and restrict the use of expensive or unnecessarily powerful ones. </w:t>
      </w:r>
    </w:p>
    <w:p w:rsidR="006D6050" w:rsidRDefault="0031397A" w:rsidP="00CA051E">
      <w:pPr>
        <w:numPr>
          <w:ilvl w:val="0"/>
          <w:numId w:val="1"/>
        </w:numPr>
        <w:ind w:hanging="360"/>
      </w:pPr>
      <w:r>
        <w:t xml:space="preserve">To combat emergence of antibiotic resistance </w:t>
      </w:r>
    </w:p>
    <w:p w:rsidR="006D6050" w:rsidRDefault="0031397A" w:rsidP="00CA051E">
      <w:pPr>
        <w:ind w:left="10"/>
      </w:pPr>
      <w:r>
        <w:rPr>
          <w:b/>
        </w:rPr>
        <w:t>B. Scope</w:t>
      </w:r>
      <w:r>
        <w:t xml:space="preserve">:    Hospital Wide </w:t>
      </w:r>
    </w:p>
    <w:p w:rsidR="006D6050" w:rsidRDefault="0031397A" w:rsidP="00CA051E">
      <w:pPr>
        <w:ind w:left="10"/>
      </w:pPr>
      <w:r>
        <w:t xml:space="preserve">Our policy is to rationally and judiciously use the antibiotics for patient treatment.  </w:t>
      </w:r>
    </w:p>
    <w:p w:rsidR="006D6050" w:rsidRDefault="0031397A" w:rsidP="00CA051E">
      <w:pPr>
        <w:ind w:left="10"/>
      </w:pPr>
      <w:r>
        <w:t xml:space="preserve">Antibiotics are categorized under following categories and authorization to prescribe those antibiotics is given according to the qualification and designation of doctor. </w:t>
      </w:r>
    </w:p>
    <w:p w:rsidR="006D6050" w:rsidRDefault="0031397A">
      <w:pPr>
        <w:pStyle w:val="Heading1"/>
        <w:numPr>
          <w:ilvl w:val="0"/>
          <w:numId w:val="0"/>
        </w:numPr>
      </w:pPr>
      <w:r>
        <w:t xml:space="preserve">Categories of antibiotics: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First Level Antibiotics – can be prescribed by Junior Resident Doctors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Second Level Antibiotics - can be prescribed by Senior Resident Doctors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Third Level Antibiotics- can be prescribed by Junior Consultants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Fourth Level Antibiotics- can be prescribed only by Senior Consultants </w:t>
      </w:r>
    </w:p>
    <w:p w:rsidR="006D6050" w:rsidRDefault="0031397A" w:rsidP="00CA051E">
      <w:pPr>
        <w:spacing w:after="109"/>
        <w:ind w:left="0" w:firstLine="0"/>
      </w:pPr>
      <w:r>
        <w:rPr>
          <w:i/>
        </w:rPr>
        <w:t xml:space="preserve">(These categories can be further modified by the hospital as per their needs Hospital is supposed to differentiate the antibiotics under above mentioned categories used in the hospital.)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Assessment is done to know whether the patient actually requires an antibiotic or not </w:t>
      </w:r>
      <w:r>
        <w:rPr>
          <w:rFonts w:ascii="Segoe UI Symbol" w:eastAsia="Segoe UI Symbol" w:hAnsi="Segoe UI Symbol" w:cs="Segoe UI Symbol"/>
        </w:rPr>
        <w:t></w:t>
      </w:r>
      <w:r>
        <w:tab/>
        <w:t xml:space="preserve">In general antibiotic therapy is not changed if the clinical condition is improving.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If there is no clinical response within 72 hours, the clinical diagnosis, the choice of antibiotic and/or the possibility of a secondary infection should be reconsidered.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Antibiotic are prescribed for the minimum length of time that is effective. </w:t>
      </w:r>
    </w:p>
    <w:p w:rsidR="006D6050" w:rsidRDefault="0031397A" w:rsidP="00CA051E">
      <w:pPr>
        <w:numPr>
          <w:ilvl w:val="0"/>
          <w:numId w:val="2"/>
        </w:numPr>
        <w:spacing w:after="0"/>
        <w:ind w:hanging="360"/>
      </w:pPr>
      <w:r>
        <w:t xml:space="preserve">Review the duration of antibiotic therapy is done after 5 days.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For surgical prophylaxis antibiotics are started one day before induction of anaesthesia and continue for a maximum </w:t>
      </w:r>
      <w:proofErr w:type="gramStart"/>
      <w:r>
        <w:t>of  five</w:t>
      </w:r>
      <w:proofErr w:type="gramEnd"/>
      <w:r>
        <w:t xml:space="preserve"> days as per prescribed by treating surgeon.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Pathogen is targeted first –cultures are obtained from the patient;  </w:t>
      </w:r>
    </w:p>
    <w:p w:rsidR="00CA051E" w:rsidRDefault="0031397A" w:rsidP="00CA051E">
      <w:pPr>
        <w:numPr>
          <w:ilvl w:val="0"/>
          <w:numId w:val="2"/>
        </w:numPr>
        <w:ind w:hanging="360"/>
      </w:pPr>
      <w:r>
        <w:t xml:space="preserve">Empiric therapy is targeted for likely pathogens;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Definitive therapy is given for known pathogens.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Standard infection control practices and isolation precautions are adopted to avoid hospital acquired infection.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Medical audit is done to know who prescribed what. </w:t>
      </w:r>
    </w:p>
    <w:p w:rsidR="006D6050" w:rsidRDefault="0031397A" w:rsidP="00CA051E">
      <w:pPr>
        <w:numPr>
          <w:ilvl w:val="0"/>
          <w:numId w:val="2"/>
        </w:numPr>
        <w:ind w:hanging="360"/>
      </w:pPr>
      <w:r>
        <w:t xml:space="preserve">Training and education is provided to the antibiotic prescribers to keep them updated about judicious usage of antibiotics. </w:t>
      </w:r>
    </w:p>
    <w:p w:rsidR="006D6050" w:rsidRDefault="0031397A" w:rsidP="00CA051E">
      <w:pPr>
        <w:spacing w:after="0"/>
        <w:ind w:left="0" w:firstLine="0"/>
      </w:pPr>
      <w:r>
        <w:lastRenderedPageBreak/>
        <w:t xml:space="preserve">General Guideline for Antibiotic Treatment and Prophylaxis: </w:t>
      </w:r>
    </w:p>
    <w:tbl>
      <w:tblPr>
        <w:tblStyle w:val="TableGrid"/>
        <w:tblpPr w:vertAnchor="text" w:tblpX="-108" w:tblpY="31"/>
        <w:tblOverlap w:val="never"/>
        <w:tblW w:w="957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2369"/>
        <w:gridCol w:w="2959"/>
        <w:gridCol w:w="2430"/>
        <w:gridCol w:w="1820"/>
      </w:tblGrid>
      <w:tr w:rsidR="006D6050" w:rsidTr="00CA051E">
        <w:trPr>
          <w:trHeight w:val="3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Common Pathogen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Line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Line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Comment </w:t>
            </w:r>
          </w:p>
        </w:tc>
      </w:tr>
      <w:tr w:rsidR="006D6050" w:rsidTr="00CA051E">
        <w:trPr>
          <w:trHeight w:val="3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Acute viral </w:t>
            </w:r>
            <w:proofErr w:type="spellStart"/>
            <w:r>
              <w:t>inf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No Antibiotic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Antiviral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Symptomatic </w:t>
            </w:r>
          </w:p>
        </w:tc>
      </w:tr>
      <w:tr w:rsidR="006D6050" w:rsidTr="00CA051E">
        <w:trPr>
          <w:trHeight w:val="70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Viral with secondary </w:t>
            </w:r>
            <w:proofErr w:type="spellStart"/>
            <w:r>
              <w:t>inf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11"/>
              <w:ind w:left="0" w:firstLine="0"/>
            </w:pPr>
            <w:r>
              <w:t xml:space="preserve">-Penicillin </w:t>
            </w:r>
            <w:proofErr w:type="spellStart"/>
            <w:r>
              <w:t>deriviates</w:t>
            </w:r>
            <w:proofErr w:type="spellEnd"/>
          </w:p>
          <w:p w:rsidR="006D6050" w:rsidRDefault="0031397A">
            <w:pPr>
              <w:spacing w:after="0" w:line="276" w:lineRule="auto"/>
              <w:ind w:left="0" w:firstLine="0"/>
            </w:pPr>
            <w:r>
              <w:t>-</w:t>
            </w:r>
            <w:proofErr w:type="spellStart"/>
            <w:r>
              <w:t>Macrolidus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57" w:firstLine="0"/>
              <w:jc w:val="center"/>
            </w:pPr>
            <w:proofErr w:type="spellStart"/>
            <w:r>
              <w:t>Quinolone</w:t>
            </w:r>
            <w:proofErr w:type="spellEnd"/>
            <w:r>
              <w:t xml:space="preserve"> </w:t>
            </w:r>
            <w:proofErr w:type="spellStart"/>
            <w:r>
              <w:t>Cefalosporin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178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Acute Bacterial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11"/>
              <w:ind w:left="0" w:firstLine="0"/>
            </w:pPr>
            <w:r>
              <w:t>-</w:t>
            </w:r>
            <w:proofErr w:type="spellStart"/>
            <w:r>
              <w:t>Colrimexole</w:t>
            </w:r>
            <w:proofErr w:type="spellEnd"/>
          </w:p>
          <w:p w:rsidR="006D6050" w:rsidRDefault="0031397A">
            <w:pPr>
              <w:spacing w:after="0" w:line="276" w:lineRule="auto"/>
              <w:ind w:left="0" w:right="422" w:firstLine="0"/>
            </w:pPr>
            <w:r>
              <w:t xml:space="preserve">-Penicillin </w:t>
            </w:r>
            <w:proofErr w:type="spellStart"/>
            <w:r>
              <w:t>deriviates</w:t>
            </w:r>
            <w:proofErr w:type="spellEnd"/>
            <w:r>
              <w:t xml:space="preserve"> -1</w:t>
            </w:r>
            <w:r>
              <w:rPr>
                <w:vertAlign w:val="superscript"/>
              </w:rPr>
              <w:t>st</w:t>
            </w:r>
            <w:r>
              <w:t xml:space="preserve"> generation </w:t>
            </w:r>
            <w:proofErr w:type="spellStart"/>
            <w:r>
              <w:t>quinolones</w:t>
            </w:r>
            <w:proofErr w:type="spellEnd"/>
            <w:r>
              <w:t xml:space="preserve"> -1</w:t>
            </w:r>
            <w:r>
              <w:rPr>
                <w:vertAlign w:val="superscript"/>
              </w:rPr>
              <w:t>st</w:t>
            </w:r>
            <w:r>
              <w:t xml:space="preserve"> and 2</w:t>
            </w:r>
            <w:r>
              <w:rPr>
                <w:vertAlign w:val="superscript"/>
              </w:rPr>
              <w:t>nd</w:t>
            </w:r>
            <w:r>
              <w:t xml:space="preserve"> gen cephalosporin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02" w:line="382" w:lineRule="auto"/>
              <w:ind w:left="0" w:firstLine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and 3</w:t>
            </w:r>
            <w:r>
              <w:rPr>
                <w:vertAlign w:val="superscript"/>
              </w:rPr>
              <w:t>rd</w:t>
            </w:r>
            <w:r>
              <w:t xml:space="preserve"> Generation quinolones </w:t>
            </w:r>
          </w:p>
          <w:p w:rsidR="006D6050" w:rsidRDefault="006D6050">
            <w:pPr>
              <w:spacing w:after="108"/>
              <w:ind w:left="0" w:firstLine="0"/>
              <w:jc w:val="center"/>
            </w:pPr>
          </w:p>
          <w:p w:rsidR="006D6050" w:rsidRDefault="0031397A">
            <w:pPr>
              <w:spacing w:after="121"/>
              <w:ind w:left="0" w:firstLine="0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 generation </w:t>
            </w:r>
          </w:p>
          <w:p w:rsidR="006D6050" w:rsidRDefault="0031397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Cefalosporin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90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12"/>
              <w:ind w:left="0" w:firstLine="0"/>
            </w:pPr>
            <w:r>
              <w:t xml:space="preserve">Mix Bacteria </w:t>
            </w:r>
            <w:proofErr w:type="spellStart"/>
            <w:r>
              <w:t>inf</w:t>
            </w:r>
            <w:proofErr w:type="spellEnd"/>
          </w:p>
          <w:p w:rsidR="006D6050" w:rsidRDefault="0031397A">
            <w:pPr>
              <w:spacing w:after="0" w:line="276" w:lineRule="auto"/>
              <w:ind w:left="0" w:firstLine="0"/>
            </w:pPr>
            <w:proofErr w:type="spellStart"/>
            <w:r>
              <w:t>Gram+ve</w:t>
            </w:r>
            <w:proofErr w:type="spellEnd"/>
            <w:r>
              <w:t>, Gram-</w:t>
            </w:r>
            <w:proofErr w:type="spellStart"/>
            <w:r>
              <w:t>ve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Broad spectrum antibiotic of any generation  </w:t>
            </w:r>
            <w:proofErr w:type="spellStart"/>
            <w:r>
              <w:t>Aminoglycocytes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367" w:firstLine="91"/>
            </w:pPr>
            <w:r>
              <w:t xml:space="preserve">As per culture sensitivity result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208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Mix Anaerobic </w:t>
            </w:r>
            <w:proofErr w:type="spellStart"/>
            <w:r>
              <w:t>inf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09"/>
              <w:ind w:left="0" w:firstLine="0"/>
            </w:pPr>
            <w:proofErr w:type="spellStart"/>
            <w:r>
              <w:t>Broadspectrum</w:t>
            </w:r>
            <w:proofErr w:type="spellEnd"/>
            <w:r>
              <w:t xml:space="preserve"> antibiotic </w:t>
            </w:r>
          </w:p>
          <w:p w:rsidR="006D6050" w:rsidRDefault="0031397A">
            <w:pPr>
              <w:spacing w:after="111"/>
              <w:ind w:left="0" w:firstLine="0"/>
            </w:pPr>
            <w:proofErr w:type="spellStart"/>
            <w:r>
              <w:t>Aminoglycocytes</w:t>
            </w:r>
            <w:proofErr w:type="spellEnd"/>
          </w:p>
          <w:p w:rsidR="006D6050" w:rsidRDefault="0031397A">
            <w:pPr>
              <w:spacing w:after="111"/>
              <w:ind w:left="0" w:firstLine="0"/>
            </w:pPr>
            <w:proofErr w:type="spellStart"/>
            <w:r>
              <w:t>Tinidazole</w:t>
            </w:r>
            <w:proofErr w:type="spellEnd"/>
          </w:p>
          <w:p w:rsidR="006D6050" w:rsidRDefault="0031397A">
            <w:pPr>
              <w:spacing w:after="109"/>
              <w:ind w:left="0" w:firstLine="0"/>
            </w:pPr>
            <w:r>
              <w:t xml:space="preserve">Metronidazole </w:t>
            </w:r>
          </w:p>
          <w:p w:rsidR="006D6050" w:rsidRDefault="0031397A">
            <w:pPr>
              <w:spacing w:after="111"/>
              <w:ind w:left="0" w:firstLine="0"/>
            </w:pPr>
            <w:proofErr w:type="spellStart"/>
            <w:r>
              <w:t>Ormidazole</w:t>
            </w:r>
            <w:proofErr w:type="spellEnd"/>
          </w:p>
          <w:p w:rsidR="006D6050" w:rsidRDefault="0031397A">
            <w:pPr>
              <w:spacing w:after="0" w:line="276" w:lineRule="auto"/>
              <w:ind w:left="0" w:firstLine="0"/>
            </w:pPr>
            <w:proofErr w:type="spellStart"/>
            <w:r>
              <w:t>Secinidazole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367" w:firstLine="91"/>
            </w:pPr>
            <w:r>
              <w:t xml:space="preserve">As per culture sensitivity result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70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Worms infestation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11"/>
              <w:ind w:left="0" w:firstLine="0"/>
            </w:pPr>
            <w:proofErr w:type="spellStart"/>
            <w:r>
              <w:t>Antihelminthics</w:t>
            </w:r>
            <w:proofErr w:type="spellEnd"/>
          </w:p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Specific or Broad specific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6D6050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69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Fungal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09"/>
              <w:ind w:left="0" w:firstLine="0"/>
            </w:pPr>
            <w:proofErr w:type="spellStart"/>
            <w:r>
              <w:t>Kelacenazole</w:t>
            </w:r>
            <w:proofErr w:type="spellEnd"/>
            <w:r>
              <w:t xml:space="preserve">, </w:t>
            </w:r>
          </w:p>
          <w:p w:rsidR="006D6050" w:rsidRDefault="0031397A">
            <w:pPr>
              <w:spacing w:after="0" w:line="276" w:lineRule="auto"/>
              <w:ind w:left="0" w:firstLine="0"/>
            </w:pPr>
            <w:proofErr w:type="spellStart"/>
            <w:r>
              <w:t>Macunzole</w:t>
            </w:r>
            <w:proofErr w:type="spellEnd"/>
            <w:r>
              <w:t xml:space="preserve">, </w:t>
            </w:r>
            <w:proofErr w:type="spellStart"/>
            <w:r>
              <w:t>Fluconazole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17" w:firstLine="0"/>
            </w:pPr>
            <w:r>
              <w:t xml:space="preserve">With suitable Antibiotics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3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Tuberculosis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As policy of DOT’s clinic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6D6050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3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Amoebic </w:t>
            </w:r>
            <w:proofErr w:type="spellStart"/>
            <w:r>
              <w:t>inf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Anti </w:t>
            </w:r>
            <w:proofErr w:type="spellStart"/>
            <w:r>
              <w:t>amoebics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6D6050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6D6050" w:rsidTr="00CA051E">
        <w:trPr>
          <w:trHeight w:val="41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0" w:firstLine="0"/>
            </w:pPr>
            <w:r>
              <w:t xml:space="preserve">Malarial Parasite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111"/>
              <w:ind w:left="0" w:firstLine="0"/>
            </w:pPr>
            <w:proofErr w:type="spellStart"/>
            <w:r>
              <w:t>Chloroquines</w:t>
            </w:r>
            <w:proofErr w:type="spellEnd"/>
            <w:r>
              <w:t xml:space="preserve"> and </w:t>
            </w:r>
          </w:p>
          <w:p w:rsidR="006D6050" w:rsidRDefault="0031397A">
            <w:pPr>
              <w:spacing w:after="0" w:line="276" w:lineRule="auto"/>
              <w:ind w:left="0" w:firstLine="0"/>
            </w:pPr>
            <w:proofErr w:type="spellStart"/>
            <w:r>
              <w:t>Primaquines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164" w:right="104" w:firstLine="0"/>
              <w:jc w:val="center"/>
            </w:pPr>
            <w:proofErr w:type="spellStart"/>
            <w:r>
              <w:t>ArtisunateArtimether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50" w:rsidRDefault="0031397A">
            <w:pPr>
              <w:spacing w:after="0" w:line="276" w:lineRule="auto"/>
              <w:ind w:left="29" w:firstLine="0"/>
              <w:jc w:val="center"/>
            </w:pPr>
            <w:r>
              <w:t xml:space="preserve">Resistant cases Quinine Derivatives </w:t>
            </w:r>
          </w:p>
        </w:tc>
      </w:tr>
    </w:tbl>
    <w:p w:rsidR="006D6050" w:rsidRDefault="006D6050" w:rsidP="00CA051E">
      <w:pPr>
        <w:tabs>
          <w:tab w:val="center" w:pos="3317"/>
          <w:tab w:val="center" w:pos="5732"/>
        </w:tabs>
        <w:spacing w:after="9653"/>
        <w:ind w:left="0" w:firstLine="0"/>
      </w:pPr>
      <w:bookmarkStart w:id="0" w:name="_GoBack"/>
      <w:bookmarkEnd w:id="0"/>
    </w:p>
    <w:sectPr w:rsidR="006D6050" w:rsidSect="0078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12" w:right="1443" w:bottom="1539" w:left="1440" w:header="72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7F" w:rsidRDefault="00BE1F7F">
      <w:pPr>
        <w:spacing w:after="0"/>
      </w:pPr>
      <w:r>
        <w:separator/>
      </w:r>
    </w:p>
  </w:endnote>
  <w:endnote w:type="continuationSeparator" w:id="1">
    <w:p w:rsidR="00BE1F7F" w:rsidRDefault="00BE1F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50" w:rsidRDefault="00784FE8">
    <w:pPr>
      <w:spacing w:after="77" w:line="276" w:lineRule="auto"/>
      <w:ind w:left="0" w:right="24" w:firstLine="0"/>
      <w:jc w:val="both"/>
    </w:pPr>
    <w:r w:rsidRPr="00784FE8">
      <w:rPr>
        <w:rFonts w:ascii="Calibri" w:eastAsia="Calibri" w:hAnsi="Calibri" w:cs="Calibri"/>
        <w:noProof/>
        <w:sz w:val="22"/>
      </w:rPr>
      <w:pict>
        <v:group id="Group 7445" o:spid="_x0000_s2052" style="position:absolute;left:0;text-align:left;margin-left:70.6pt;margin-top:722.75pt;width:470.95pt;height:4.45pt;z-index:251658240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">
          <v:shape id="Shape 7805" o:spid="_x0000_s2054" style="position:absolute;width:59810;height:381;visibility:visible;mso-wrap-style:square;v-text-anchor:top" coordsize="598106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PAsYA&#10;AADdAAAADwAAAGRycy9kb3ducmV2LnhtbESPT4vCMBTE74LfITzBi2iqsKt0jSKiIHiQ+uewt0fz&#10;tu3avIQmav32G2HB4zAzv2Hmy9bU4k6NrywrGI8SEMS51RUXCs6n7XAGwgdkjbVlUvAkD8tFtzPH&#10;VNsHZ3Q/hkJECPsUFZQhuFRKn5dk0I+sI47ej20MhiibQuoGHxFuajlJkk9psOK4UKKjdUn59Xgz&#10;Ci6r7/FvO/Au2xx2brJ2+21WTJXq99rVF4hAbXiH/9s7rWA6Sz7g9S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rPAsYAAADdAAAADwAAAAAAAAAAAAAAAACYAgAAZHJz&#10;L2Rvd25yZXYueG1sUEsFBgAAAAAEAAQA9QAAAIsDAAAAAA==&#10;" adj="0,,0" path="m,l5981065,r,38100l,38100,,e" fillcolor="#622423" stroked="f" strokeweight="0">
            <v:stroke miterlimit="83231f" joinstyle="miter"/>
            <v:formulas/>
            <v:path arrowok="t" o:connecttype="segments" textboxrect="0,0,5981065,38100"/>
          </v:shape>
          <v:shape id="Shape 7806" o:spid="_x0000_s2053" style="position:absolute;top:472;width:59810;height:91;visibility:visible;mso-wrap-style:square;v-text-anchor:top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6OMcA&#10;AADdAAAADwAAAGRycy9kb3ducmV2LnhtbESPS2vDMBCE74H+B7GF3Bq5htrGjRJKoG0OveRB6HGx&#10;NraJtXIs+dH++ipQyHGYmW+Y5XoyjRioc7VlBc+LCARxYXXNpYLj4f0pA+E8ssbGMin4IQfr1cNs&#10;ibm2I+9o2PtSBAi7HBVU3re5lK6oyKBb2JY4eGfbGfRBdqXUHY4BbhoZR1EiDdYcFipsaVNRcdn3&#10;RsGL+y3bS59+f32eDF+HIj7X8YdS88fp7RWEp8nfw//trVaQZlECt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MOjjHAAAA3QAAAA8AAAAAAAAAAAAAAAAAmAIAAGRy&#10;cy9kb3ducmV2LnhtbFBLBQYAAAAABAAEAPUAAACMAwAAAAA=&#10;" adj="0,,0" path="m,l5981065,r,9144l,9144,,e" fillcolor="#622423" stroked="f" strokeweight="0">
            <v:stroke miterlimit="83231f" joinstyle="miter"/>
            <v:formulas/>
            <v:path arrowok="t" o:connecttype="segments" textboxrect="0,0,5981065,9144"/>
          </v:shape>
          <w10:wrap type="square" anchorx="page" anchory="page"/>
        </v:group>
      </w:pict>
    </w:r>
  </w:p>
  <w:p w:rsidR="006D6050" w:rsidRDefault="0031397A">
    <w:pPr>
      <w:tabs>
        <w:tab w:val="right" w:pos="9357"/>
      </w:tabs>
      <w:spacing w:after="0"/>
      <w:ind w:left="0" w:firstLine="0"/>
    </w:pPr>
    <w:r>
      <w:rPr>
        <w:rFonts w:ascii="Cambria" w:eastAsia="Cambria" w:hAnsi="Cambria" w:cs="Cambria"/>
      </w:rPr>
      <w:t>Prepared By:-</w:t>
    </w:r>
    <w:proofErr w:type="spellStart"/>
    <w:r>
      <w:rPr>
        <w:rFonts w:ascii="Cambria" w:eastAsia="Cambria" w:hAnsi="Cambria" w:cs="Cambria"/>
      </w:rPr>
      <w:t>Istekhar</w:t>
    </w:r>
    <w:proofErr w:type="spellEnd"/>
    <w:r>
      <w:rPr>
        <w:rFonts w:ascii="Cambria" w:eastAsia="Cambria" w:hAnsi="Cambria" w:cs="Cambria"/>
      </w:rPr>
      <w:t xml:space="preserve"> Ahmad, Technical Advisor (Quality Assurance)</w:t>
    </w:r>
    <w:r>
      <w:rPr>
        <w:rFonts w:ascii="Cambria" w:eastAsia="Cambria" w:hAnsi="Cambria" w:cs="Cambria"/>
        <w:sz w:val="24"/>
      </w:rPr>
      <w:tab/>
      <w:t xml:space="preserve">Page </w:t>
    </w:r>
    <w:r w:rsidR="00784FE8" w:rsidRPr="00784FE8">
      <w:fldChar w:fldCharType="begin"/>
    </w:r>
    <w:r>
      <w:instrText xml:space="preserve"> PAGE   \* MERGEFORMAT </w:instrText>
    </w:r>
    <w:r w:rsidR="00784FE8" w:rsidRPr="00784FE8">
      <w:fldChar w:fldCharType="separate"/>
    </w:r>
    <w:r>
      <w:rPr>
        <w:rFonts w:ascii="Cambria" w:eastAsia="Cambria" w:hAnsi="Cambria" w:cs="Cambria"/>
        <w:sz w:val="24"/>
      </w:rPr>
      <w:t>1</w:t>
    </w:r>
    <w:r w:rsidR="00784FE8">
      <w:rPr>
        <w:rFonts w:ascii="Cambria" w:eastAsia="Cambria" w:hAnsi="Cambria" w:cs="Cambria"/>
        <w:sz w:val="24"/>
      </w:rPr>
      <w:fldChar w:fldCharType="end"/>
    </w:r>
  </w:p>
  <w:p w:rsidR="006D6050" w:rsidRDefault="006D6050">
    <w:pPr>
      <w:spacing w:after="0"/>
      <w:ind w:left="0" w:right="353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50" w:rsidRDefault="006D6050">
    <w:pPr>
      <w:spacing w:after="0"/>
      <w:ind w:left="0" w:right="353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50" w:rsidRDefault="00784FE8">
    <w:pPr>
      <w:spacing w:after="77" w:line="276" w:lineRule="auto"/>
      <w:ind w:left="0" w:right="24" w:firstLine="0"/>
      <w:jc w:val="both"/>
    </w:pPr>
    <w:r w:rsidRPr="00784FE8">
      <w:rPr>
        <w:rFonts w:ascii="Calibri" w:eastAsia="Calibri" w:hAnsi="Calibri" w:cs="Calibri"/>
        <w:noProof/>
        <w:sz w:val="22"/>
      </w:rPr>
      <w:pict>
        <v:group id="Group 7237" o:spid="_x0000_s2049" style="position:absolute;left:0;text-align:left;margin-left:70.6pt;margin-top:722.75pt;width:470.95pt;height:4.45pt;z-index:251660288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">
          <v:shape id="Shape 7801" o:spid="_x0000_s2051" style="position:absolute;width:59810;height:381;visibility:visible;mso-wrap-style:square;v-text-anchor:top" coordsize="598106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JAcYA&#10;AADdAAAADwAAAGRycy9kb3ducmV2LnhtbESPT4vCMBTE74LfITxhL7Km9aDSNYqIguBhqX8O3h7N&#10;s602L6HJav32G2Fhj8PM/IaZLzvTiAe1vrasIB0lIIgLq2suFZyO288ZCB+QNTaWScGLPCwX/d4c&#10;M22fnNPjEEoRIewzVFCF4DIpfVGRQT+yjjh6V9saDFG2pdQtPiPcNHKcJBNpsOa4UKGjdUXF/fBj&#10;FJxXl/TWDb3LN987N167/TYvp0p9DLrVF4hAXfgP/7V3WsF0lqTwfh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HJAcYAAADdAAAADwAAAAAAAAAAAAAAAACYAgAAZHJz&#10;L2Rvd25yZXYueG1sUEsFBgAAAAAEAAQA9QAAAIsDAAAAAA==&#10;" adj="0,,0" path="m,l5981065,r,38100l,38100,,e" fillcolor="#622423" stroked="f" strokeweight="0">
            <v:stroke miterlimit="83231f" joinstyle="miter"/>
            <v:formulas/>
            <v:path arrowok="t" o:connecttype="segments" textboxrect="0,0,5981065,38100"/>
          </v:shape>
          <v:shape id="Shape 7802" o:spid="_x0000_s2050" style="position:absolute;top:472;width:59810;height:91;visibility:visible;mso-wrap-style:square;v-text-anchor:top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8O8UA&#10;AADdAAAADwAAAGRycy9kb3ducmV2LnhtbESPQYvCMBSE74L/ITzB25paUEs1igju7sGL7iIeH82z&#10;LTYvtYm16683woLHYWa+YRarzlSipcaVlhWMRxEI4szqknMFvz/bjwSE88gaK8uk4I8crJb93gJT&#10;be+8p/bgcxEg7FJUUHhfp1K6rCCDbmRr4uCdbWPQB9nkUjd4D3BTyTiKptJgyWGhwJo2BWWXw80o&#10;mLhHXl9us9Pu62j42mbxuYw/lRoOuvUchKfOv8P/7W+tYJZEMb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zw7xQAAAN0AAAAPAAAAAAAAAAAAAAAAAJgCAABkcnMv&#10;ZG93bnJldi54bWxQSwUGAAAAAAQABAD1AAAAigMAAAAA&#10;" adj="0,,0" path="m,l5981065,r,9144l,9144,,e" fillcolor="#622423" stroked="f" strokeweight="0">
            <v:stroke miterlimit="83231f" joinstyle="miter"/>
            <v:formulas/>
            <v:path arrowok="t" o:connecttype="segments" textboxrect="0,0,5981065,9144"/>
          </v:shape>
          <w10:wrap type="square" anchorx="page" anchory="page"/>
        </v:group>
      </w:pict>
    </w:r>
  </w:p>
  <w:p w:rsidR="006D6050" w:rsidRDefault="0031397A">
    <w:pPr>
      <w:tabs>
        <w:tab w:val="right" w:pos="9357"/>
      </w:tabs>
      <w:spacing w:after="0"/>
      <w:ind w:left="0" w:firstLine="0"/>
    </w:pPr>
    <w:r>
      <w:rPr>
        <w:rFonts w:ascii="Cambria" w:eastAsia="Cambria" w:hAnsi="Cambria" w:cs="Cambria"/>
      </w:rPr>
      <w:t>Prepared By:-</w:t>
    </w:r>
    <w:proofErr w:type="spellStart"/>
    <w:r>
      <w:rPr>
        <w:rFonts w:ascii="Cambria" w:eastAsia="Cambria" w:hAnsi="Cambria" w:cs="Cambria"/>
      </w:rPr>
      <w:t>Istekhar</w:t>
    </w:r>
    <w:proofErr w:type="spellEnd"/>
    <w:r>
      <w:rPr>
        <w:rFonts w:ascii="Cambria" w:eastAsia="Cambria" w:hAnsi="Cambria" w:cs="Cambria"/>
      </w:rPr>
      <w:t xml:space="preserve"> Ahmad, Technical Advisor (Quality Assurance)</w:t>
    </w:r>
    <w:r>
      <w:rPr>
        <w:rFonts w:ascii="Cambria" w:eastAsia="Cambria" w:hAnsi="Cambria" w:cs="Cambria"/>
        <w:sz w:val="24"/>
      </w:rPr>
      <w:tab/>
      <w:t xml:space="preserve">Page </w:t>
    </w:r>
    <w:r w:rsidR="00784FE8" w:rsidRPr="00784FE8">
      <w:fldChar w:fldCharType="begin"/>
    </w:r>
    <w:r>
      <w:instrText xml:space="preserve"> PAGE   \* MERGEFORMAT </w:instrText>
    </w:r>
    <w:r w:rsidR="00784FE8" w:rsidRPr="00784FE8">
      <w:fldChar w:fldCharType="separate"/>
    </w:r>
    <w:r>
      <w:rPr>
        <w:rFonts w:ascii="Cambria" w:eastAsia="Cambria" w:hAnsi="Cambria" w:cs="Cambria"/>
        <w:sz w:val="24"/>
      </w:rPr>
      <w:t>1</w:t>
    </w:r>
    <w:r w:rsidR="00784FE8">
      <w:rPr>
        <w:rFonts w:ascii="Cambria" w:eastAsia="Cambria" w:hAnsi="Cambria" w:cs="Cambria"/>
        <w:sz w:val="24"/>
      </w:rPr>
      <w:fldChar w:fldCharType="end"/>
    </w:r>
  </w:p>
  <w:p w:rsidR="006D6050" w:rsidRDefault="006D6050">
    <w:pPr>
      <w:spacing w:after="0"/>
      <w:ind w:left="0" w:right="353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7F" w:rsidRDefault="00BE1F7F">
      <w:pPr>
        <w:spacing w:after="0"/>
      </w:pPr>
      <w:r>
        <w:separator/>
      </w:r>
    </w:p>
  </w:footnote>
  <w:footnote w:type="continuationSeparator" w:id="1">
    <w:p w:rsidR="00BE1F7F" w:rsidRDefault="00BE1F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368" w:tblpY="726"/>
      <w:tblOverlap w:val="never"/>
      <w:tblW w:w="9502" w:type="dxa"/>
      <w:tblInd w:w="0" w:type="dxa"/>
      <w:tblCellMar>
        <w:left w:w="107" w:type="dxa"/>
        <w:right w:w="115" w:type="dxa"/>
      </w:tblCellMar>
      <w:tblLook w:val="04A0"/>
    </w:tblPr>
    <w:tblGrid>
      <w:gridCol w:w="3506"/>
      <w:gridCol w:w="3273"/>
      <w:gridCol w:w="2723"/>
    </w:tblGrid>
    <w:tr w:rsidR="006D6050">
      <w:trPr>
        <w:trHeight w:val="1328"/>
      </w:trPr>
      <w:tc>
        <w:tcPr>
          <w:tcW w:w="35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6050" w:rsidRDefault="0031397A">
          <w:pPr>
            <w:spacing w:after="0"/>
            <w:ind w:left="1" w:firstLine="0"/>
          </w:pPr>
          <w:r>
            <w:rPr>
              <w:rFonts w:ascii="Calibri" w:eastAsia="Calibri" w:hAnsi="Calibri" w:cs="Calibri"/>
              <w:noProof/>
              <w:sz w:val="22"/>
              <w:lang w:bidi="ar-SA"/>
            </w:rPr>
            <w:drawing>
              <wp:inline distT="0" distB="0" distL="0" distR="0">
                <wp:extent cx="762000" cy="667385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6050" w:rsidRDefault="0031397A">
          <w:pPr>
            <w:spacing w:after="0"/>
            <w:ind w:left="1" w:firstLine="0"/>
          </w:pPr>
          <w:r>
            <w:rPr>
              <w:rFonts w:ascii="Times New Roman" w:eastAsia="Times New Roman" w:hAnsi="Times New Roman" w:cs="Times New Roman"/>
              <w:b/>
            </w:rPr>
            <w:t xml:space="preserve">Dr. Ram </w:t>
          </w:r>
          <w:proofErr w:type="spellStart"/>
          <w:r>
            <w:rPr>
              <w:rFonts w:ascii="Times New Roman" w:eastAsia="Times New Roman" w:hAnsi="Times New Roman" w:cs="Times New Roman"/>
              <w:b/>
            </w:rPr>
            <w:t>ManoharLohia</w:t>
          </w:r>
          <w:proofErr w:type="spellEnd"/>
          <w:r>
            <w:rPr>
              <w:rFonts w:ascii="Times New Roman" w:eastAsia="Times New Roman" w:hAnsi="Times New Roman" w:cs="Times New Roman"/>
              <w:b/>
            </w:rPr>
            <w:t xml:space="preserve"> Combined </w:t>
          </w:r>
        </w:p>
        <w:p w:rsidR="006D6050" w:rsidRDefault="0031397A">
          <w:pPr>
            <w:spacing w:after="0"/>
            <w:ind w:left="1" w:firstLine="0"/>
          </w:pPr>
          <w:r>
            <w:rPr>
              <w:rFonts w:ascii="Times New Roman" w:eastAsia="Times New Roman" w:hAnsi="Times New Roman" w:cs="Times New Roman"/>
              <w:b/>
            </w:rPr>
            <w:t>Hospital</w:t>
          </w:r>
        </w:p>
        <w:p w:rsidR="006D6050" w:rsidRDefault="0031397A">
          <w:pPr>
            <w:spacing w:after="0"/>
            <w:ind w:left="0" w:firstLine="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b/>
            </w:rPr>
            <w:t>GomtinagarLucknow</w:t>
          </w:r>
          <w:proofErr w:type="spellEnd"/>
        </w:p>
        <w:p w:rsidR="006D6050" w:rsidRDefault="006D6050">
          <w:pPr>
            <w:spacing w:after="0" w:line="276" w:lineRule="auto"/>
            <w:ind w:left="1" w:firstLine="0"/>
          </w:pPr>
        </w:p>
      </w:tc>
      <w:tc>
        <w:tcPr>
          <w:tcW w:w="32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31397A">
          <w:pPr>
            <w:spacing w:after="0"/>
            <w:ind w:left="0" w:firstLine="0"/>
            <w:jc w:val="center"/>
          </w:pPr>
          <w:r>
            <w:rPr>
              <w:rFonts w:ascii="Calibri" w:eastAsia="Calibri" w:hAnsi="Calibri" w:cs="Calibri"/>
              <w:noProof/>
              <w:sz w:val="22"/>
              <w:lang w:bidi="ar-SA"/>
            </w:rPr>
            <w:drawing>
              <wp:inline distT="0" distB="0" distL="0" distR="0">
                <wp:extent cx="885825" cy="676274"/>
                <wp:effectExtent l="0" t="0" r="0" b="0"/>
                <wp:docPr id="22" name="Pictur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67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6050" w:rsidRDefault="0031397A">
          <w:pPr>
            <w:spacing w:after="0" w:line="276" w:lineRule="auto"/>
            <w:ind w:left="0" w:firstLine="0"/>
            <w:jc w:val="center"/>
          </w:pPr>
          <w:r>
            <w:rPr>
              <w:sz w:val="22"/>
            </w:rPr>
            <w:t>Quality Operating Process</w:t>
          </w:r>
        </w:p>
      </w:tc>
      <w:tc>
        <w:tcPr>
          <w:tcW w:w="27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31397A">
          <w:pPr>
            <w:spacing w:after="0" w:line="276" w:lineRule="auto"/>
            <w:ind w:left="1" w:firstLine="0"/>
          </w:pPr>
          <w:r>
            <w:rPr>
              <w:b/>
              <w:sz w:val="24"/>
            </w:rPr>
            <w:t xml:space="preserve">Document  No : 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RML/AP/02 </w:t>
          </w:r>
        </w:p>
      </w:tc>
    </w:tr>
    <w:tr w:rsidR="006D6050">
      <w:trPr>
        <w:trHeight w:val="6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6050" w:rsidRDefault="006D6050">
          <w:pPr>
            <w:spacing w:after="0" w:line="276" w:lineRule="auto"/>
            <w:ind w:left="0" w:firstLine="0"/>
          </w:pPr>
        </w:p>
      </w:tc>
      <w:tc>
        <w:tcPr>
          <w:tcW w:w="32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6D6050">
          <w:pPr>
            <w:spacing w:after="0"/>
            <w:ind w:left="0" w:firstLine="0"/>
            <w:jc w:val="center"/>
          </w:pPr>
        </w:p>
        <w:p w:rsidR="006D6050" w:rsidRDefault="0031397A">
          <w:pPr>
            <w:tabs>
              <w:tab w:val="center" w:pos="1530"/>
            </w:tabs>
            <w:spacing w:after="0" w:line="276" w:lineRule="auto"/>
            <w:ind w:left="0" w:firstLine="0"/>
          </w:pPr>
          <w:r>
            <w:rPr>
              <w:b/>
              <w:sz w:val="22"/>
            </w:rPr>
            <w:tab/>
            <w:t xml:space="preserve">Antibiotic Policy </w:t>
          </w:r>
        </w:p>
      </w:tc>
      <w:tc>
        <w:tcPr>
          <w:tcW w:w="27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31397A">
          <w:pPr>
            <w:spacing w:after="0" w:line="276" w:lineRule="auto"/>
            <w:ind w:left="1" w:firstLine="0"/>
          </w:pPr>
          <w:r>
            <w:rPr>
              <w:b/>
              <w:sz w:val="24"/>
            </w:rPr>
            <w:t xml:space="preserve">Date of Issue :  27/05/2012 </w:t>
          </w:r>
        </w:p>
      </w:tc>
    </w:tr>
  </w:tbl>
  <w:p w:rsidR="006D6050" w:rsidRDefault="0031397A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50" w:rsidRDefault="006D6050">
    <w:pPr>
      <w:spacing w:after="0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368" w:tblpY="726"/>
      <w:tblOverlap w:val="never"/>
      <w:tblW w:w="9502" w:type="dxa"/>
      <w:tblInd w:w="0" w:type="dxa"/>
      <w:tblCellMar>
        <w:left w:w="107" w:type="dxa"/>
        <w:right w:w="115" w:type="dxa"/>
      </w:tblCellMar>
      <w:tblLook w:val="04A0"/>
    </w:tblPr>
    <w:tblGrid>
      <w:gridCol w:w="3506"/>
      <w:gridCol w:w="3273"/>
      <w:gridCol w:w="2723"/>
    </w:tblGrid>
    <w:tr w:rsidR="006D6050">
      <w:trPr>
        <w:trHeight w:val="1328"/>
      </w:trPr>
      <w:tc>
        <w:tcPr>
          <w:tcW w:w="35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6050" w:rsidRDefault="0031397A">
          <w:pPr>
            <w:spacing w:after="0"/>
            <w:ind w:left="1" w:firstLine="0"/>
          </w:pPr>
          <w:r>
            <w:rPr>
              <w:rFonts w:ascii="Calibri" w:eastAsia="Calibri" w:hAnsi="Calibri" w:cs="Calibri"/>
              <w:noProof/>
              <w:sz w:val="22"/>
              <w:lang w:bidi="ar-SA"/>
            </w:rPr>
            <w:drawing>
              <wp:inline distT="0" distB="0" distL="0" distR="0">
                <wp:extent cx="762000" cy="667385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6050" w:rsidRDefault="0031397A">
          <w:pPr>
            <w:spacing w:after="0"/>
            <w:ind w:left="1" w:firstLine="0"/>
          </w:pPr>
          <w:r>
            <w:rPr>
              <w:rFonts w:ascii="Times New Roman" w:eastAsia="Times New Roman" w:hAnsi="Times New Roman" w:cs="Times New Roman"/>
              <w:b/>
            </w:rPr>
            <w:t xml:space="preserve">Dr. Ram </w:t>
          </w:r>
          <w:proofErr w:type="spellStart"/>
          <w:r>
            <w:rPr>
              <w:rFonts w:ascii="Times New Roman" w:eastAsia="Times New Roman" w:hAnsi="Times New Roman" w:cs="Times New Roman"/>
              <w:b/>
            </w:rPr>
            <w:t>ManoharLohia</w:t>
          </w:r>
          <w:proofErr w:type="spellEnd"/>
          <w:r>
            <w:rPr>
              <w:rFonts w:ascii="Times New Roman" w:eastAsia="Times New Roman" w:hAnsi="Times New Roman" w:cs="Times New Roman"/>
              <w:b/>
            </w:rPr>
            <w:t xml:space="preserve"> Combined </w:t>
          </w:r>
        </w:p>
        <w:p w:rsidR="006D6050" w:rsidRDefault="0031397A">
          <w:pPr>
            <w:spacing w:after="0"/>
            <w:ind w:left="1" w:firstLine="0"/>
          </w:pPr>
          <w:r>
            <w:rPr>
              <w:rFonts w:ascii="Times New Roman" w:eastAsia="Times New Roman" w:hAnsi="Times New Roman" w:cs="Times New Roman"/>
              <w:b/>
            </w:rPr>
            <w:t>Hospital</w:t>
          </w:r>
        </w:p>
        <w:p w:rsidR="006D6050" w:rsidRDefault="0031397A">
          <w:pPr>
            <w:spacing w:after="0"/>
            <w:ind w:left="0" w:firstLine="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b/>
            </w:rPr>
            <w:t>GomtinagarLucknow</w:t>
          </w:r>
          <w:proofErr w:type="spellEnd"/>
        </w:p>
        <w:p w:rsidR="006D6050" w:rsidRDefault="006D6050">
          <w:pPr>
            <w:spacing w:after="0" w:line="276" w:lineRule="auto"/>
            <w:ind w:left="1" w:firstLine="0"/>
          </w:pPr>
        </w:p>
      </w:tc>
      <w:tc>
        <w:tcPr>
          <w:tcW w:w="32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31397A">
          <w:pPr>
            <w:spacing w:after="0"/>
            <w:ind w:left="0" w:firstLine="0"/>
            <w:jc w:val="center"/>
          </w:pPr>
          <w:r>
            <w:rPr>
              <w:rFonts w:ascii="Calibri" w:eastAsia="Calibri" w:hAnsi="Calibri" w:cs="Calibri"/>
              <w:noProof/>
              <w:sz w:val="22"/>
              <w:lang w:bidi="ar-SA"/>
            </w:rPr>
            <w:drawing>
              <wp:inline distT="0" distB="0" distL="0" distR="0">
                <wp:extent cx="885825" cy="676274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67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6050" w:rsidRDefault="0031397A">
          <w:pPr>
            <w:spacing w:after="0" w:line="276" w:lineRule="auto"/>
            <w:ind w:left="0" w:firstLine="0"/>
            <w:jc w:val="center"/>
          </w:pPr>
          <w:r>
            <w:rPr>
              <w:sz w:val="22"/>
            </w:rPr>
            <w:t>Quality Operating Process</w:t>
          </w:r>
        </w:p>
      </w:tc>
      <w:tc>
        <w:tcPr>
          <w:tcW w:w="27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31397A">
          <w:pPr>
            <w:spacing w:after="0" w:line="276" w:lineRule="auto"/>
            <w:ind w:left="1" w:firstLine="0"/>
          </w:pPr>
          <w:r>
            <w:rPr>
              <w:b/>
              <w:sz w:val="24"/>
            </w:rPr>
            <w:t xml:space="preserve">Document  No : 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RML/AP/02 </w:t>
          </w:r>
        </w:p>
      </w:tc>
    </w:tr>
    <w:tr w:rsidR="006D6050">
      <w:trPr>
        <w:trHeight w:val="6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6050" w:rsidRDefault="006D6050">
          <w:pPr>
            <w:spacing w:after="0" w:line="276" w:lineRule="auto"/>
            <w:ind w:left="0" w:firstLine="0"/>
          </w:pPr>
        </w:p>
      </w:tc>
      <w:tc>
        <w:tcPr>
          <w:tcW w:w="32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6D6050">
          <w:pPr>
            <w:spacing w:after="0"/>
            <w:ind w:left="0" w:firstLine="0"/>
            <w:jc w:val="center"/>
          </w:pPr>
        </w:p>
        <w:p w:rsidR="006D6050" w:rsidRDefault="0031397A">
          <w:pPr>
            <w:tabs>
              <w:tab w:val="center" w:pos="1530"/>
            </w:tabs>
            <w:spacing w:after="0" w:line="276" w:lineRule="auto"/>
            <w:ind w:left="0" w:firstLine="0"/>
          </w:pPr>
          <w:r>
            <w:rPr>
              <w:b/>
              <w:sz w:val="22"/>
            </w:rPr>
            <w:tab/>
            <w:t xml:space="preserve">Antibiotic Policy </w:t>
          </w:r>
        </w:p>
      </w:tc>
      <w:tc>
        <w:tcPr>
          <w:tcW w:w="27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</w:tcPr>
        <w:p w:rsidR="006D6050" w:rsidRDefault="0031397A">
          <w:pPr>
            <w:spacing w:after="0" w:line="276" w:lineRule="auto"/>
            <w:ind w:left="1" w:firstLine="0"/>
          </w:pPr>
          <w:r>
            <w:rPr>
              <w:b/>
              <w:sz w:val="24"/>
            </w:rPr>
            <w:t xml:space="preserve">Date of Issue :  27/05/2012 </w:t>
          </w:r>
        </w:p>
      </w:tc>
    </w:tr>
  </w:tbl>
  <w:p w:rsidR="006D6050" w:rsidRDefault="0031397A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F69"/>
    <w:multiLevelType w:val="hybridMultilevel"/>
    <w:tmpl w:val="D1BA80A8"/>
    <w:lvl w:ilvl="0" w:tplc="1D8CFEDE">
      <w:start w:val="100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E38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53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252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8A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AB3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A1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2A9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CE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2C5AAF"/>
    <w:multiLevelType w:val="hybridMultilevel"/>
    <w:tmpl w:val="5C56B73E"/>
    <w:lvl w:ilvl="0" w:tplc="5124424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4D880">
      <w:start w:val="1"/>
      <w:numFmt w:val="bullet"/>
      <w:lvlText w:val="o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C760A">
      <w:start w:val="1"/>
      <w:numFmt w:val="bullet"/>
      <w:lvlText w:val="▪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576A">
      <w:start w:val="1"/>
      <w:numFmt w:val="bullet"/>
      <w:lvlText w:val="•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ACD2C">
      <w:start w:val="1"/>
      <w:numFmt w:val="bullet"/>
      <w:lvlText w:val="o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164E">
      <w:start w:val="1"/>
      <w:numFmt w:val="bullet"/>
      <w:lvlText w:val="▪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0B446">
      <w:start w:val="1"/>
      <w:numFmt w:val="bullet"/>
      <w:lvlText w:val="•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2F050">
      <w:start w:val="1"/>
      <w:numFmt w:val="bullet"/>
      <w:lvlText w:val="o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614D4">
      <w:start w:val="1"/>
      <w:numFmt w:val="bullet"/>
      <w:lvlText w:val="▪"/>
      <w:lvlJc w:val="left"/>
      <w:pPr>
        <w:ind w:left="6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5738FC"/>
    <w:multiLevelType w:val="hybridMultilevel"/>
    <w:tmpl w:val="CF84ACD0"/>
    <w:lvl w:ilvl="0" w:tplc="38045E4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EF7D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6944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991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62BAA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01C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2003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6E14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ED68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6050"/>
    <w:rsid w:val="0031397A"/>
    <w:rsid w:val="006D6050"/>
    <w:rsid w:val="00784FE8"/>
    <w:rsid w:val="00BE1F7F"/>
    <w:rsid w:val="00CA051E"/>
    <w:rsid w:val="00D57B2E"/>
    <w:rsid w:val="00E6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E8"/>
    <w:pPr>
      <w:spacing w:after="115" w:line="240" w:lineRule="auto"/>
      <w:ind w:left="107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784FE8"/>
    <w:pPr>
      <w:keepNext/>
      <w:keepLines/>
      <w:numPr>
        <w:numId w:val="3"/>
      </w:numPr>
      <w:spacing w:after="120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4FE8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784F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3373</Characters>
  <Application>Microsoft Office Word</Application>
  <DocSecurity>0</DocSecurity>
  <Lines>28</Lines>
  <Paragraphs>7</Paragraphs>
  <ScaleCrop>false</ScaleCrop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 POLICY</dc:title>
  <dc:subject/>
  <dc:creator>SAGAR</dc:creator>
  <cp:keywords/>
  <cp:lastModifiedBy>Jamal</cp:lastModifiedBy>
  <cp:revision>4</cp:revision>
  <cp:lastPrinted>2015-09-01T12:16:00Z</cp:lastPrinted>
  <dcterms:created xsi:type="dcterms:W3CDTF">2015-08-27T10:12:00Z</dcterms:created>
  <dcterms:modified xsi:type="dcterms:W3CDTF">2015-09-01T12:17:00Z</dcterms:modified>
</cp:coreProperties>
</file>